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12.02.2021, оставленным без изменения постановлением Девятого арбитражного апелляционного суда от 12.04.2021 и постановлением Арбитражного суда Московского округа от 30.06.2021,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предприятием проведен аукцион на право заключения контракта на оказание услуг по погрузке-разгрузке. Обществом и банком 03.02.2020 заключен договор о предоставлении банковской гарантии № 294419-БГ/20, во исполнение условий которого 04.02.2020 банк выдал банковскую гарантию № 294419-БГ/20. В соответствии с протоколом подведения итогов электронного аукциона от 28.01.2020 общество признано победителем аукциона. В связи с предоставлением банковской гарантии, содержащей условия, противоречащие положениям гражданского законодательства, заказчиком составлен протокол отказа от заключения государственного контракта от 10.02.2020. Не согласившись с действиями заказчика, общество обратилось в управление с жалобой, по результатам рассмотрения решением от 18.02.2020 по делу № 077/06/57-2593/2020 жалоба признана необоснованной. Решением Арбитражного суда города Москвы от 21.08.2021 по делу № А40-42512/2020-144-342 решение антимонопольного органа признано законным. Полагая, что из-за виновных действий банка контракт не был заключен и причинены убытки в виде неполученного дохода (упущенной выгоды) от исполнения государственного контракта, общество обратилось в арбитражный суд с иском.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пришли к выводу об отсутствии оснований для удовлетворения заявленного искового требования, с чем согласился суд округа. Судебные инстанции указали, что именно на участнике закупки, являющемся лицом, осуществляющим предпринимательскую деятельность, лежит ответственность по соблюдению всех требований законодательства при 3 участии в закупке. Действуя добросовестно, именно он обязан проверить достоверность представленных им документов заказчику об обеспечении исполнения контрактов, проверить условия, содержащиеся в банковской гарантии, прежде чем названные документы будут представлены заказчику в обеспечение исполнения контрактов. Доказательств, подтверждающих возложение на банк ответственности за соответствие участника закупки и представленных документов требованиям закупки, обществом не представлено. При этом положения законодательства и условия договора о предоставлении банковской гарантии не предусматривают обязательство гаранта по возмещению принципалу упущенной выгоды. Законом установлено требование о безотзывности банковской гарантии, в остальном условия банковской гарантии отнесены к соглашению сторон. Таким образом, суды пришли к выводу о том, что требования истца о взыскании с ответчика упущенной выгоды не подлежат удовлетворению.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«Переездик»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