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принятом при новом рассмотрении дела решением Арбитражного суда Смоленской области от 31.08.2020, оставленным без изменения постановлением Двадцатого арбитражного апелляционного суда от 16.02.2021 и постановлением Арбитражного суда Центрального округа от 23.06.2021, заявление удовлетворено частично, признано недействительным решение инспекции в части доначисления 52 444 рублей налога на прибыль, 11 711 рублей пени и 10 489 рублей штрафа. В остальной части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принятые по делу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выездная налоговая проверка общества за 2014-2015 годы, по результатам составлен акт от 12.12.2017 № 18 и принято решение от 29.01.2018 о доначислении налога на прибыль, соответствующих сумм пени и штрафа, а также штрафных санкций по налогу на добавленную стоимость и транспортному налогу. Не согласившись с решением инспекции в части доначисления налога на прибыль, общество обратилось в арбитражный суд. Исследовав и оценив представленные в материалы дела доказательства, суд первой инстанции, руководствуясь положениями Налогового кодекса Российской Федерации, пришел к выводу о том, что оспоренное решение налогового органа в части доначисления 52 444 рублей налога на прибыль, 11 711 рублей пени и 10 489 рублей штрафа не соответствует положениям законодательства и нарушает права и законные интересы заявителя. Вместе с тем, отказывая в удовлетворении остальной части требования, суд согласился с выводами инспекции о необоснованном включении обществом в состав расходов, учитываемых при исчислении налога на прибыль за 2014 год затрат по приобретению пескоразбрасывающих кузовов, поскольку налогоплательщик не подтвердил их приобретение в целях осуществления деятельности, направленной на получение дохода. Так, судом установлено, что представленные документы не подтверждают установку указанных кузовов на транспортные средства для ООО «Меркатор-Сервис Ст». По эпизоду, связанному с включением обществом в состав расходов, учитываемых при исчислении налога на прибыль за 2015 год затрат по 3 приобретению отвалов и гидрораспределителей, предназначенных для установки на автомобили, суд также пришел к выводу о том, что указанные расходы налогоплательщиком документально не подтверждены. Суды апелляционной инстанции и округа поддержали выводы суда первой инстанции.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«Смоленские машины»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