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16.11.2020, оставленным без изменения постановлением Девятого арбитражного апелляционного суда от 09.02.2020 и постановлением Арбитражного суда Московского округа от 23.03.2021, исковое заявление удовлетворено.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Департаментом строительства города Москвы (государственный заказчик) и обществом (генпроектировщик) заключен государственный контракт 14.02.2018 № 0173200001417001422 на выполнение проектно-изыскательских работ по объекту. Соглашением от 26.07.2018 о замене лица в обязательстве к контракту учреждение приняло права и обязанности, возложенные на государственного заказчика по спорному контракту. Обществом направлены учреждению акты приемки выполненных работ по этапам №№ 2, 4 и 5 контракта, которые были приняты и подписаны без замечаний и возражений, а 25.12.2018 обществу поступила претензия учреждения о взыскании неустойки за просрочку этапов №№ 2, 4, 5 контракта на общую сумму 2 331 948 рублей 21 копейка из причитающейся к оплате суммы по подписанному акту приемки выполненных работ от 27.08.2019 № 5 по этапу № 5 контракта. Полагая, что удержание пени в пользу бюджета города Москвы является неправомерным ввиду отсутствия вины генпроектировщика в нарушении обязательств по контракту, а действия ответчика являются недобросовестными и приводят к его неосновательному обогащению, общество обратилось в арбитражный суд с иском. Также обществом начислена неустойка за просрочку оплаты выполненных работ в соответствии с пунктами 8.8 контракта на сумму 141 079 рублей 12 копеек.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оснований для удовлетворения заявленных исковых требований, с чем согласился суд округа. Судебные инстанции исходили из доказанности обществом обстоятельств того, что исполнение взятых на себя обязательств не было произведено в установленный срок по независящим от него причинам, отметив, что 08.02.2019 учреждение было уведомлено о приостановлении работ по контракту. Расчет заявленной неустойки судами проверен и признан верным.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города Москвы «Управление дорожно-мостового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