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08.10.2020 общество привлечено к административной ответственности, предусмотренной частью 3 статьи 14.1 Кодекса Российской 2 Федерации об административных правонарушениях, и ему назначено наказание в виде предупреждения. Постановлением Тринадцатого арбитражного апелляционного суда от 15.03.2021 решение суда первой инстанции отменено, в удовлетворении заявления отказано. Постановлением Арбитражного суда Северо-Западного округа от 22.06.2021 постановление суда апелляционной инстанции отменено, решение суда первой инстанции оставлено в силе. Общество в кассационной жалобе просит постановление суда округа отменить, постановление суда апелляционной инстанции оставить в силе.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составления протокола и обращения в арбитражный суд с соответствующим заявлением послужил выявленный административным органом факт, свидетельствующий о допуске обществом к работам по разравниванию и уплотнению отходов, загрузке, разгрузке, транспортированию инертных материалов, работам по изоляции отходов лиц, с которыми не заключены трудовые договоры. Частью 3 статьи 14.1 Кодекса Российской Федерации об административных правонарушениях установлена административная ответственность за осуществление предпринимательской деятельности с нарушением условий, предусмотренных специальным разрешением (лицензией). Отменяя постановление суда апелляционной инстанции и оставляя в силе решение суда первой инстанции, суд округа руководствовался положениями статьи 8 Федерального закона от 04.05.2011 № 99-ФЗ «О лицензировании отдельных видов деятельности», статьи 15 Федерального закона от 24.06.1998 № 89-ФЗ «Об отходах производства и потребления», подпункта «г» пункта 3 Положения о лицензировании деятельности по сбору, транспортированию, обработке, утилизации, обезвреживанию, размещению отходов I-IV классов 3 опасности, утвержденного постановлением Правительства Российской Федерации от 03.10.2015 № 1062 (действующего в спорный период), и исходил из установленных судом первой инстанции обстоятельств, без учета которых суд апелляционной инстанции признал недоказанным наличие в действиях общества состава вмененного правонарушения. Обжалуя судебные акты в Верховный Суд Российской Федерации, общество приводит доводы об отсутствии в его действиях состава правонарушения. Между тем, указанные доводы получили надлежащую правовую оценку применительно к действующим лицензионным требованиям, предусматривающим наличие у лицензиата трудоустроенных лиц, допущенных к проведению работ и прошедших специальную подготовку.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