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21.12.2020, оставленным без изменения постановлением Двенадцатого арбитражного апелляционного суда от 18.02.2021, оспариваемое постановление признано незаконным и изменено в части назначения административного штрафа, размер штрафа снижен судом до 150 000 рублей. Постановлением Арбитражного суда Поволжского округа от 21.06.2021 указанные судебные акты оставлены без изменения. Предприниматель просит состоявшиеся по делу судебные акты отменить, считая их принятыми с существенным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использование предпринимателем для осуществления регулярных перевозок пассажиров транспортного средства при отсутствии карты маршрута регулярных перевозок, наличие которой является обязательным. Частью 4 статьи 11.33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Оценив представленные доказательства, руководствовался положениями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суды пришли к выводу о наличии в действиях предпринимателя состава правонарушения, ответственность за совершение которого предусмотрена частью 4 статьи 11.33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административное наказание в виде штрафа снижено судом ниже низшего размера санкции нормы. Доводы жалобы были предметом исследования судов и получили исчерпывающую правовую оценку с учетом конкретных установленных обстоятельств, свидетельствующих об использовании предпринимателем транспортного средства для осуществления регулярных перевозок пассажиров,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