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03.12.2020, оставленным без изменения постановлением Девятого арбитражного апелляционного суда от 04.03.2021, в удовлетворении заявленного требования отказано. Постановлением Арбитражного суда Московского округа от 28.06.2021 указанные судебные акты оставлены без изменения. Общество просит отменить обжалуемые судебные акты, заявленные требования удовлетворить.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171 , 172 , 246 , 247 , 252 Налогового кодекса Российской Федерации, с учетом разъяснений Пленума Высшего Арбитражного Суда Российской Федерации, изложенных в постановлении от 12.10.2006 № 53 «Об оценке арбитражными судами обоснованности получения налогоплательщиком налоговой выгоды», суды отказали в удовлетворении требований, признав, что общество необоснованно включило в состав налоговых вычетов по налогу на добавленную стоимость и расходов, уменьшающих базу по налогу на прибыль, затраты, связанные с оказанием рекламных услуг контрагентами, в отсутствие реальных финансово-хозяйственных операций. Приведенные в жалобе доводы о документальном подтверждении спорных расходов, недоказанности совершения сделок в целях получения необоснованной налоговой выгоды связаны с оценкой доказательств и установлением фактических обстоятельств по делу, что не относится к компетенции Судебной коллегии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