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17.12.2020, оставленным без изменения постановлением Семнадцатого арбитражного апелляционного суда от 11.03.2021, заявленные требования удовлетворены частично, признано незаконным и отменено вынесенное в отношении предпринимателя постановление от 07.08.2020 № 066/04/14.32-1587/2020, в удовлетворении требований о признании недействительным решения антимонопольного органа от 21.02.2020 № 066/01/11-3403/2019 отказано, признано незаконным и изменено вынесенное в отношении компании постановление от 24.07.2020 № 066/04/14.32-1601/2020 в части штрафа в размере, превышающем 58 560 рублей; признано незаконным и изменено вынесенное в отношении общества постановление от 21.09.2020 №066/04/14.32-1599/2020 в части штрафа в размере, превышающем 1 247 280 рублей, в удовлетворении остальной части требований отказано. Постановлением Арбитражного суда Уральского округа от 25.06.2021 указанные судебные акты оставлены без изменения. 3 Общество и компания обратились в Верховный Суд Российской Федерации с кассационной жалобой на состоявшиеся по делу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26.07.2006 № 135-ФЗ «О защите конкуренции», суды пришли к выводу о доказанности антимонопольным органом факта заключения хозяйствующими субъектами недопустимых картельных соглашений, направленных на поддержание цен на торгах, признали правомерным вынесенное по итогам проверки решение, а также установили в действиях общества и компании наличие составов правонарушений, ответственность за совершение которых предусмотрена частью 2 статьи 14.32 Кодекса Российской Федерации об административных правонарушениях. Нарушений процедуры привлечения к административной ответственности не установлено, срок давности привлечения к административной ответственности соблюден. 4 С учетом положений части 3.2 статьи 4.1 Кодекса Российской Федерации об административных правонарушениях, с целью наложения справедливого и соразмерного административного наказания, размер назначенного штрафа снижен судом в два раза. Доводы жалобы сводятся к несогласию с установленными судами фактическими обстоятельствами дела, в том числе, связанными с применением установленной стратегии с целью извлечения выгоды, и оценкой доказательств, что в силу статьи 291.6 Арбитражного процессуального кодекса Российской Федерации не является основанием для пересмотра оспариваемых судебных актов в кассационном порядке. Составление протокола по делу об административном правонарушении в отсутствие в период ограничений, введенных в связи с пандемией коронавируса, само по себе не может служить основанием для отмены судебных актов исходя из установленных обстоятельств, свидетельствующих об извещении привлекаемого к ответственности лица обо всех процессуальных действиях и отсутствии ходатайства об отложении.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