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организация обратилась в суд с заявлением о включении в реестр требований кредиторов должника (далее – реестр) требования в размере 103 090 751 рубля 66 копеек. Определением Арбитражного суда города Москвы от 27.02.2020 заявление удовлетворено. Постановлением Девятого арбитражного апелляционного суда от 17.07.2020 отменено определение суда первой инстанции от 27.02.2020, отказано в удовлетворении заявления. Постановлением Арбитражного суда Московского округа от 30.09.2020 отменены определение от 27.02.2020 и постановление от 17.07.2020, обособленный спор направлен на новое рассмотрение в Арбитражный суд города Москвы. Определением Арбитражного суда города Москвы от 29.12.2020, оставленным без изменения постановлениями Девятого арбитражного апелляционного суда от 12.04.2021 и Арбитражного суда Московского округа от 08.07.2021, отказано в удовлетворении заявления. 2 В кассационной жалобе, поданной в Верховный Суд Российской Федерации, заявитель просит отменить указанные судебные акты, принять новый судебный акт. Письмом Верховного Суда Российской Федерации от 17.09.2021 материалы дела № А40-151327/2018, касающиеся данного спора, были истребованы в Арбитражном суде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материалов дела и доводов кассационной жалобы таких оснований не установлено. Разрешая спор, суды, руководствуясь положениями статей 71 и 100 Федерального закона от 26.10.2002 № 127-ФЗ «О несостоятельности (банкротстве)», пришли к обоснованному выводу об отсутствии снований для удовлетворения заявления организации о включении требований в реестр.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автономной некоммерческой организации дополнительного образования «Детско-юношеская спортивная школа "ГЕРАКЛИОН"»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