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28.09.2020, оставленным без изменения постановлениями Пятнадцатого арбитражного апелляционного суда от 31.12.2020 и Арбитражного суда Северо-Кавказского округа от 17.05.2021, должник признан несостоятельным (банкротом), в отношении него открыто конкурсное производство, утверждён конкурсный управляющий.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Краснодарского края. 14.09.2021 материалы дела № А32-10498/2020 были истребованы в Арбитражном суде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актов, материалов дела и доводов кассационной жалобы таких оснований не установлено. Признавая должника банкротом и вводя процедуру конкурсного производства, суды, руководствуясь положениями статей 2, 15, 20, 20.2, 53, 73, 75, 124, 127 Федерального закона от 26.10.2002 № 127-ФЗ «О несостоятельности (банкротстве)», исходили из недоказанности наличия возможности восстановления платежёспособности должника, указав на принятие на собрании кредиторов неотменённого решения о введении в отношении должника конкурсного производства и утверждении Саарян Анжелы Валериковны конкурсным управляющим должником, чья кандидатура соответствовала требованиям законодательства о банкротстве. Выводы судов соответствуют нормам права, оснований для переоценки этих выводов не имеется. Отклоняя доводы заявителя об отсутствии у общества с ограниченной ответственностью «Югстроймеханизация» (далее – кредитор) права выбора кандидатуры арбитражного управляющего ввиду его заинтересованности по отношению к должнику, суды исходили из того, что при введении в отношении должника процедуры наблюдения определением Арбитражного суда Краснодарского края от 29.06.2020 по настоящему делу о банкротстве должника саморегулируемая организация управляющих, предложившая на утверждение в качестве временного управляющего кандидатуру Саарян А.В., определена методом случайной выборки. При этом и Саарян А.В., и арбитражный управляющий Белов Александр Сергеевич (утверждённый конкурсным управляющим должником определением Арбитражного суда Краснодарского края от 01.04.2021 по настоящему делу) являются членами выбранной судом саморегулируемой организации – Союза арбитражных управляющих «Возрождение». Иные изложенные в кассационной жалобе доводы заявителя с учётом изученных материалов истребованного дела не подтверждают наличие существенных нарушений норм материального и (или) процессуального права, которые бы повлияли на исход судебного разбирательства, и оснований для передачи поданной им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Ярчуку Родиону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