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21.09.2020, оставленным без изменения постановлением Десятого арбитражного апелляционного суда от 03.12.2020 исковые требования удовлетворены. Постановлением Арбитражного суда Московского округа от 24.06.2021 решение суда первой инстанции и постановление суда апелляционной инстанции изменены, с администрации в пользу общества взыскано 996 469 рублей 30 копеек неосновательного обогащения в виде стоимости дополнительных работ, 15 627 рублей 69 копеек процентов за пользование чужими денежными средствами. В удовлетворении остальной части исковых требований отказано. 2 Не согласившись с постановлением суда округа, общество обратилось в Верховный Суд Российской Федерации с кассационной жалобой, в которой просит его отменить, оставить в силе судебные акты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администрацией (заказчик) и обществом (подрядчик) заключен муниципальный контракт от 05.08.2019 № 07/13 на выполнение работ по комплексному благоустройству дворовых территорий Школьного бульвара городского округа Черноголовка Московской области. При выполнении объемов работ по контракту согласно техническому заданию подрядчиком выявлены дополнительные работы, не учтенные в проектно-сметной документации, что зафиксировано в акте освидетельствования и приемки от 25.08.2019 № 8. Уклонение заказчика от оплаты выполненных и фактически согласованных дополнительных работ по контракту послужило основанием для обращения общества в арбитражный суд с иском. Удовлетворяя заявленные требования, суды исходили из доказанности согласования дополнительных работ заказчиком и их необходимости, обоснования невозможности исполнения контракта в отсутствие спорных работ, отметив, что ответчик своих обязательств по оплате дополнительных работ не исполнил, доказательств погашения долга не представил. Расчет процентов за пользование чужими денежными средствами, представленный истцом, судом проверен и признан верным. Отменяя судебные акты, суд округа,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пришел к выводу об отсутствии оснований для удовлетворения заявленных исковых требований в части, превышающей 10% стоимости контракта. Суд исходил из того, что подрядчик, выявив дополнительные работы, установив их объем, не приостановил работы по контракту и не запросил разъяснений заказчика, в тоже время при выявлении спорного объема 3 дополнительных (не предусмотренных контрактом) работ, стоимость которого превышала 10% от цены контракта, подрядчик имел право при условии согласования с заказчиком претендовать на дополнительные 10% оплаты от стоимости работ по контракту, либо мог отказаться от принятых на себя контрактных обязательств, с последующим проведением заказчиком повторных процедур в соответствии с положениями Закона о контрактной системе. Судом отмечено, что иной подход нивелирует те цели и задачи, которые преследовал законодатель при принятии Закона о контрактной системе. На основании вышеизложенного, суд округа пришел к выводу, что спорные дополнительные работы не подлежат оплате и, как следствие, не подлежит удовлетворению связанное с основным дополнительное требование о взыскании начисленных процентов. Доводы общества относительно доказательственной базы подлежат отклонению, поскольку вопрос относимости, допустимости, достоверности и полноты доказательств разрешается судами первой и апелляционной инстанций в каждом конкретном случае, исходя из обстоятельств дела, и входит в круг вопросов, рассмотрение которых не относится к компетенции суда, рассматривающего дело в порядке кассационного производства. Указанные доводы являлись предметом рассмотрения суда округа, не подтверждают существенных нарушений норм материального и/или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судебного акта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«Ташир»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