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«Новый взгляд» (далее – общество) обратилось в Арбитражный суд Республики Саха (Якутия) с иском к индивидуальному предпринимателю Баишевой Анастасии Степановне (далее – предприниматель) о признании недействительным договора цессии от 25.01.2018, согласно которому общество уступило предпринимателю право требования по договору участия в долевом строительстве от 20.12.2017 № 26/3, и применении последствий недействительности сделки в виде взыскания действительной стоимости отчужденного по недействительной сделке права требования в размере 3 306 000 руб. К участию в деле в качестве третьих лиц, не заявляющих самостоятельных требований относительно предмета спора, привлечены Попова Диана Иннокентьевна, Охлопкова Сардана Николаевна, публичное акционерное общество «Сбербанк России». Решением Арбитражного суда Республики Саха (Якутия) от 03.07.2020 исковые требования удовлетворены. 2 Постановлением Четвертого арбитражного апелляционного суда от 16.02.2021 решение суда первой инстанции отменено, в удовлетворении исковых требований отказано. Постановлением Арбитражного суда Восточно-Сибирского округа от 01.07.2021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апелляционной инстанции и округа норм материального и процессуального права, просит отменить их постановления и оставить в силе решение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исковые требования мотивированы тем, что общество договор цессии от 25.01.2018 (далее – договор) не заключало, не подписывало и денежные средства по нему не получало. Исследовав и оценив по правилам статьи 71 Арбитражного процессуального кодекса Российской Федерации представленные в материалы дела доказательства, учитывая отсутствие доказательств выбытия из владения общества печати, оттиск которой проставлен на оспариваемом договоре, установив, что представитель общества, действующий на основании нотариальной доверенности, при оформлении сделки представил необходимый для перехода права собственности пакет документов, суд апелляционной инстанции пришел к выводу о том, что директор общества одобрил заключение договора. При таких обстоятельствах, указав истцу на злоупотребление им правом на оспаривание данной сделки, руководствуясь статьями 10, 166, 182, 183, 382, 420 Гражданского кодекса Российской Федерации, суд пришел к выводу об отсутствии оснований для удовлетворения исковых требований. Суд округа поддержал выводы апелляционного суда. Доводы кассационной жалобы не опровергают выводы судов, не подтверждают существенных нарушений норм материального 3 и процессуального права, повлиявших на исход дела, и не являются достаточным основанием для пересмотра судебных актов в кассационном порядке.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«Новый взгляд»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