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17.03.2021, оставленным без изменения постановлениями судов апелляционной инстанции от 23.04.2021 и округа от 12.07.2021, с ответчика взыскано 169 600 078,39 руб. В кассационной жалобе ФИО1 просит обжалуемые судебные акты отменить как незаконные и несоответствующие обстоятельствам дела. В силу части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усматривается. Суды установили, что в результате действий ответчика (в частности, непередачи арбитражному управляющему документации должника, совершения убыточных сделок) стало невозможным погашение требований кредиторов. При таких условиях суды удовлетворили заявленные требования, руководствуясь нормами Федерального закона от 26.10.2002 № 127-ФЗ «О несостоятельности (банкротстве)» о субсидиарной ответственности (в применимой редакции). Доводы жалобы выводы судов не опровергают и не отвечают критериям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ГУ УВМ МВД России по г. Москве (подробнее) ЗАО "Шиндлер" (подробнее) Макаров Р (подробнее) ООО "Новая Строительная Компания" (подробнее) ООО "Промстрой" (подробнее) ООО СПЕЦИАЛИЗИРОВАННЫЙ ЗАСТРОЙЩИК "ГРИНВИЛЛ" (подробнее) Харченко К (подробнее) Ответчики: ООО "СУ-85" (подробнее) ООО СУ 85 (подробнее) Иные лица: АС города Москвы (подробнее) ООО ДелманСервис (подробнее) Союз "МЦАУ"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