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Шевцов Олег Анатольевич обратился в суд с заявлением о признании недействительной сделкой договора от 18.01.2019 купли-продажи ½ доли участка с кадастровым номером 33:07:000468:290, а также ½ доли строения с кадастровым номером 33:07:000468:419, заключенного между должником и Сабанцевым Д.В.; применении последствий недействительности сделки. Определением Арбитражного суда города Москвы от 03.09.2020 в удовлетворении заявления отказано. Постановлением Девятого арбитражного апелляционного суда от 22.03.2021, оставленным без изменения постановлением Арбитражного суда Московского округа от 22.06.2021,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170 Гражданского кодекса Российской Федерации, статьями 2, 19, пунктом 2 статьи 61.2 Федерального закона от 26.10.2002 № 127-ФЗ «О несостоятельности (банкротстве)», установив, что в результате оспариваемой сделки, совершённой для вида путём юридической замены собственника ½ доли в недвижимости на заинтересованное лицо, ликвидное имущество осталось под фактическим контролем неплатёжеспособного должника во избежание обращения на него взыскания по требованиям кредиторов, признали заявление финансового управляющего обоснованным и подлежащим удовлетворению.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Сабанцеву Дмитрию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