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(далее – реестр) его требования в размере 9 047 рублей 85 копеек. Определением Арбитражного суда Саратовской области от 07.04.2021, оставленным без изменения постановлениями Двенадцатого арбитражного апелляционного суда от 29.04.2021 и Арбитражного суда Поволжского округа от 30.06.2021, производство по заявлению прекращено.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заявлению, суды руководствовались статьями 5, 71, 134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и исходили из того, что требование заявителя носит текущий характер и не подлежит включению в реестр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"ЭГТС" (подробнее) Ответчики: ООО "Дом Сервис" (подробнее) Иные лица: АО Газпром (подробнее) АО Управление отходами (подробнее) Арбитражный суд Поволжского округа (подробнее) МУП Энгельс-Водоканал (подробнее) ПАО представитель "Т Плюс" Мирошник О.А. (подробнее) ПАО "Саратовэнерго"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