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утверждении расходов должника на оплату услуг привлечённых им лиц для проведения процедуры конкурсного производства. Определением Арбитражного суда Краснодарского края от 12.02.2021, оставленным без изменения постановлениями Пятнадцатого арбитражного апелляционного суда от 20.04.2021 и Арбитражного суда Северо-Кавказского округа от 07.07.2021, в удовлетворения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Краснодарского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20.7, 201.8.1 Федерального закона от 26.10.2002 № 127-ФЗ «О несостоятельности (банкротстве)», разъяснениями, содержащимися в постановлении Пленума Высшего Арбитражного Суда РФ от 17.12.2009 № 91 «О порядке погашения расходов по делу о банкротстве», не установили правовых оснований для утверждения заявленных расходов за счёт имущества должника в отсутствии доказательств исчерпания установленного лимита на оплату услуг привлечённых лиц, неподтверждённости последних и презумпции компетентности конкурсного управляющего, не обосновавшего необходимость несения расходов в заявленных суммах и способного выполнить часть заявленных к оплате услуг самостоятельно.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«Стройметаллинвест» Седову Василию Юрьевичу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