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«Абакус Инжиниринг» (далее – должник) общество с ограниченной ответственностью «ЭлекКом Логистик» (далее – общество) обратилось в Арбитражный суд города Санкт-Петербурга и Ленинградской области с заявлением о включении в реестр требований кредиторов должника (далее – реестр) требования в размере 822 875 руб. 11 коп. Определением суда первой инстанции от 26.01.2021, оставленным без изменения постановлениями судов апелляционной инстанции от 19.04.2021 и округа от 07.07.2021, требование признано обоснованным и подлежащим включению в третью очередь реестра. В кассационной жалобе заявитель просит отменить судебные акты как незаконные и направить спор на новое рассмотрение в суд первой инстанции. Предусмотренных частью 1 статьи 291.11 Арбитражного процессуального кодекса Российской Федерации оснований для пересмотра судебных актов в кассационном порядке в связи с доводами жалобы не усматривается. 2 Суды установили, что требование общества подтверждено вступившим в законную силу судебным актом арбитражного суда и не удовлетворено должником, поэтому включено в реестр в силу статей 16, 100 Федерального закона от 26.10.2002 № 127-ФЗ «О несостоятельности (банкротстве)». Изложенные в жалобе доводы не опровергают выводов судов и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