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бывший руководитель Сердюков В.Н. обратился в суд с жалобами на бездействие конкурсного управляющего должником Селиверствой Марии Владимировны, объединёнными в одно производство для совместного рассмотрения. Определением Арбитражного суда Кемеровской области от 25.02.2021 жалоба удовлетворена частично. Постановлением Седьмого арбитражного апелляционного суда от 03.06.2021, оставленным без изменения постановлением Арбитражного суда Западно-Сибирского округа от 02.08.2021, данное определение в части удовлетворения жалобы отменено, в отменённой части принят новый судебный акт об отказе в удовлетворении жалобы.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принять по обособленному спору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округа, руководствуясь статьями 20.3, 60, 129 Федерального закона от 26.10.2002 № 127-ФЗ «О несостоятельности (банкротстве)», исходили из того, что вменяемое бездействие находилось в прямой взаимосвязи с фактом неисполнения заявителем возложенной на него законом и судебным актом обязанности по передаче первичной документации и материальных ценностей должника конкурсному управляющему, отразилось на эффективности осуществления последним своих обязанностей в конкурсном производстве, в связи с чем отказали в удовлетворении жалобы.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Сердюкову Владимиру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