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28.04.2021, оставленным без изменения постановлением Девятого арбитражного апелляционного суда от 08.07.2021 и постановлением Арбитражного суда Московского округа от 17.09.2021, иск удовлетворен. Не согласившись с указанными судебными актами, общество обратилось в Верховный Суд Российской Федерации с кассационной жалобой, одновременно заявив ходатайство о приостановлении их исполнения. Письмом от 19.10.2021 дело истребовано из Арбитражного суда города Москвы.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2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обществом доводы подтверждают затруднительность поворота исполнения судебных актов в случае их отмены.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«Экспресс Вин» удовлетворить. Приостановить исполнение решения Арбитражного суда города Москвы от 28.04.2021, постановления Девятого арбитражного апелляционного суда от 08.07.2021 и постановления Арбитражного суда Московского округа от 17.09.2021 по делу № А40-211941/2020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