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26.01.2021 исковые требования удовлетворены. Постановлением Девятого арбитражного апелляционного суда от 23.04.2021 решение суда первой инстанции отменено, в удовлетворении исковых требований отказано. Постановлением Арбитражного суда Московского округа от 09.08.2021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2 отменить их постановления и оставить в силе решение суда первой инстанции либо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Отменяя решение суда первой инстанции и отказывая в удовлетворении исковых требований,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истолковав условия спорного договора в соответствии с положениями статьи 431 Гражданского кодекса Российской Федерации, принимая во внимание разъяснения, изложенные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исходил из недоказанности обществом факта переплаты в заявленном размере. Суд округа поддержал выводы суда апелляционной инстанции.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«Консонанс»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