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01.12.2020, оставленным без изменения постановлением Девятого арбитражного апелляционного суда от 02.03.2021 и постановлением Арбитражного суда Московского округа от 25.06.2021, в удовлетворении заявления отказано. В кассационной жалобе Абрамова Г.М. просит об отмене судебных актов в отношении требований к финансовому управляющему, ссылаясь на оценку его действий в противоречие с судебной практикой.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Деятельность финансового управляющего оценена применительно к доводам должника и статьям 20.3, 213.9 Федерального закона от 26.10.2002 № 127-ФЗ «О несостоятельности (банкротстве)». Доводы заявителя о бездействии противоречат установленным обстоятельствам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Абрамовой Галине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