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23.12.2020, оставленным без изменения постановлением Арбитражного суда Московского округа от 18.06.2021, в удовлетворении иска отказано. В кассационной жалобе общество «МЛК Кальмар» просит об отмене судебных актов, ссылаясь на неосновательные освобождение ответчика от ответственности за утрату груза и непризнание установленных в ранее рассмотренном деле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признали ответчика обязанным возместить убытки вследствие утраты груза по итогу исследования обстоятельств перевозки и применения к ним статей15, 393, 803 Гражданского кодекса Российской Федерации статьи 7 Федерального закона от 30.06.2003 № 87-ФЗ «О транспортно-экспедиционной деятельности». В деле № А40-237783/2019 обстоятельства перевозки не устанавливались, поэтому суды не учитывали принятые по нему судебные акты.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«МЛК Кальмар»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