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18.03.2021, оставленным без изменения постановлением Пятнадцатого арбитражного апелляционного суда от 26.05.2021 и постановлением Арбитражного суда Северо-Кавказского округа от 26.07.2021, в удовлетворении заявления отказано. В кассационной жалобе Стародубцев А.В. просит об отмене судебных актов, ссылаясь на игнорирование доводов о пороках сделок и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должника иного, кроме спорного жилого дома, имущества и недоказанность управляющим довода о непопадании его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Суды исследовали обстоятельства совершения сделок по отчуждению имущества и установили их соответствие семейному законодательству в отсутствие нарушения пределов осуществления гражданских прав.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Стародубцеву Антону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