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Пензенской области от 17.02.2021, оставленным без изменения постановлением Одиннадцатого арбитражного апелляционного суда от 22.04.2021 и постановлением Арбитражного суда Поволжского округа от 26.07.2021, Положение утверждено в редакции финансового управляющего. В кассационной жалобе Цикунова Е.В. просит об отмене судебных актов, ссылаясь на непроверку установленной цены реализуемого имущества на соответствие рыночной цене.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том, что суды не проверили соответствие оценки имущества рыночной цене, опровергается установленными обстоятельствами.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Цикуновой Елене Викторовне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