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07.10.2020, оставленным без изменения постановлением Тринадцатого арбитражного апелляционного суда от 02.04.2021 и постановлением Арбитражного суда Северо-Западного округа от 22.06.2021, соглашение от 17.04.2017 признано недействительным, со Шведовой Н.В. в конкурную массу взыскано 1 725 000 рублей. В кассационной жалобе Шведова Н.В. просит об отмене судебных актов, ссылаясь на нарушение норм права об исковой давности и равенстве долей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передачу супруге имущества должником в условиях его неплатежеспособности, поэтому признали такую сделку недействительной в силу пункта 2 статьи 61.2 Федерального закона от 26.10.2002 № 127-ФЗ «О несостоятельности (банкротстве)». Срок исковой давности исчислен судами с учетом прибегания финансового управляющего к судебному истребованию у должника документов; супружеская доля учтена при применении последствий недействительности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Шведовой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