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13.11.2020, оставленным без изменения постановлением Девятого арбитражного апелляционного суда от 04.03.2021 и постановлением Арбитражного суда Московского округа от 23.06.2021, исковые требования удовлетворены в части взыскания в пользу общества «ВояжАгроСервис» 503 187 рублей 12 копеек неосновательного обогащения, 100 171 рублей 47 копеек процентов за пользование чужими денежными средствами, в пользу общества «Арбитр Плюс» – 55 909 рублей 68 копеек неосновательного обогащения, 11 130 рублей 16 копеек процентов за пользование чужими денежными средствами. 2 В кассационной жалобе заявители просят о пересмотре судебных актов вследствие неправильной оценки действий ответчика по реализации предмета лизинга.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Оценка добросовестности ответчика при продаже имущества отнесена к компетенции судов, дана ими в том числе применительно к доводам заявителей, не создающим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«Вояж-агросервис» и обществу с ограниченной ответственностью «Арбитр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