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Мордовия от 13.11.2020, оставленным без изменения постановлением Первого арбитражного апелляционного суда от 20.02.2021, завершена процедура реализации имущества должника без освобождения его от дальнейшего исполнения требований кредиторов. Арбитражный суд Волго-Вятского округа постановлением от 16.06.2021 определение от 13.11.2020 и постановление Первого арбитражного апелляционного суда от 20.02.2021 оставил без изменения. В кассационной жалобе ФИО1 просит об отмене судебных актов, ссылаясь на несоответствие выводов судов о недобросовестности должника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Поведение должника в процедурах банкротства исследовано и оценено судами как не создающее правил, установленных пунктом 3 статьи 213.28 Федерального закона от 26.10.2002 № 127-ФЗ «О несостоятельности (банкротстве)» для освобождения от исполнения обязательств. Иная оценка заявителем своих действий опровергается установленными обстоятельствами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Октябрьский районный суд г. Саранска (подробнее) СРО Ассоциация " АУ "Лига" (подробнее) УФССП России по РМ (подробнее) ф/у Мялькин Д.В.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