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27.11.2020, оставленным без изменения постановлением Десятого арбитражного апелляционного суда от 03.03.2021 и постановлением Арбитражного суда Московского округа от 24.06.2021, в удовлетворении заявления отказано. В кассационной жалобе банк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после совершения оспариваемой сделки должник продолжил проживать в жилом доме, защищенном в силу статьи 446 Гражданского кодекса Российской Федерации исполнительским иммунитетом. Критерии наличия у жилого дома исполнительского иммунитета и целесообразность его реализации для погашения долгов определены в соответствии с позицией Конституционного Суда Российской Федерации и судебной практикой.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