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22.12.2020, оставленным без изменения постановлением Девятого арбитражного апелляционного суда от 12.03.2021, завершена процедура реализации имущества должника без освобождения от дальнейшего исполнения требований кредиторов. Арбитражный суд Московского округа постановлением от 18.06.2021 определение от 22.12.2020 и постановление Девятого арбитражного апелляционного суда от 12.03.2021 оставил без изменения. В кассационной жалобе Соколин Л.Г. просит об отмене судебных актов, ссылаясь на неисследование и отсутствие надлежащей оценки обстоятельств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Поведение должника в процедурах банкротства исследовано и оценено судами как не отвечающее правилам пункта 3 статьи 213.28 Федерального закона от 26.10.2002 № 127-ФЗ «О несостоятельности (банкротстве)» для освобождения от исполнения обязательств. Доводы кассационной жалобы не опровергают вывода судов и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Соколину Л.Г.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