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11.11.2020 заявление удовлетворено. Восемнадцатый арбитражный апелляционный суд постановлением от 16.04.2021 отменил определение от 11.11.2020 и, рассмотрев спор по правилам, установленным для суда первой инстанции, взыскал с Гарифуллина Ф.М. в пользу должника 878 108 убытков. Арбитражный суд Уральского округа постановлением от 28.06.2021 постановление Восемнадцатого арбитражного апелляционного суда от 16.04.2021 оставил без изменения. В кассационной жалобе Гарифуллин Ф.М. просит об отмене судебных актов, ссылаясь на отсутствие законных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Незаконность действий Гарифуллина Ф.М., вследствие которой взысканы убытки, установлена в самостоятельном судебном процессе в рамках дела о банкротстве должника. Отличная от судебной оценка заявителем своих действий в процедуре банкротства противоречит судебному акту и пункту 39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деле о несостоятельности (банкротстве)» граждан».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Гарифуллину Ф.М.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