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24.07.2020 Положение о порядке, об условиях и о сроках реализации имущества должника утверждено в редакции финансового управляющего. Десятый арбитражный апелляционный суд постановлением от 23.11.2020 отменил определение от 24.07.2020 и отказал в удовлетворении заявления. Арбитражный суд Московского округа постановлением от 08.07.2021 отменил постановление Десятого арбитражного апелляционного суда от 23.11.2020 и оставил в силе определение от 24.07.2020. В кассационной жалобе Тюкульмина Л.Г. просит об отмене постановления окружного суда, ссылаясь на незаконность условия о продаже всей квартиры, включая ее долю в ней.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апелляционный суд неосновательно отменил определение суда первой инстанции, исходившего из права заявителя на стоимостную компенсацию доли в праве на квартиру, не обладающую признаками исполнительского иммунитета, после ее реализации в связи с долгами супруга (должника), поэтому оставил в силе определение в пределах предоставленных статьями 286, 287 Арбитражного процессуального кодекса Российской Федерации полномочий. Положение не противоречит решению суда общей юрисдикции, которым определены идеальные доли супругов в праве собственности на общее имущество, поэтому его утверждение соответствует пункту 7 статьи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Тюкульминой Л.Г.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