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15.03.2021, оставленным без изменения постановлением Первого арбитражного апелляционного суда от 02.06.2021 и постановлением Арбитражного суда Волго-Вятского округа от 05.08.2021, в удовлетворении заявления отказано. 2 В кассационной жалобе, поданной в Верховный Суд Российской Федерации, Вифлеемский А.Б.,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управление поступило обращение Вифлеемского А.Б. о возможных нарушениях антимонопольного законодательства в действиях правительства при реализации системы персонифицированного финансирования дополнительного образования детей. По результатам рассмотрения обращения, не усмотрев в действиях правительства нарушения антимонопольного законодательства, управление приняло решение от 06.08.2020 № НБ/12160/20 об отказе в возбуждении дела. Не согласившись с решением управления, Вифлеемский А.Б. обратился в арбитражный суд. Исследовав и оценив представленные в материалы дела доказательства, руководствуясь положениями Федерального закона от 26.07.2006 № 135-ФЗ «О защите конкуренции»,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приказом Федеральной антимонопольной службы от 25.05.2012 № 339, приказом Министерства от 12.11.2019 № 316-0163-2663 «Об утверждении правил персонифицированного финансирования дополнительного образования детей в Нижегородской области и методики определения нормативных затрат на оказание государственных услуг по реализации дополнительных общеобразовательных общеразвивающих программ», суды пришли к выводу о том, что решение управления соответствует положениям законодательства и не нарушает права и законные интересы заявителя. 3 Судебные инстанции исходили из того, что внедряемая в Нижегородской области модель персонифицированного финансирования не противоречит федеральному законодательству, предусматривает финансирование всех типов поставщиков образовательных услуг, не нарушая при этом принципы конкуренции, согласившись с выводами управления об отсутствии со стороны правительства признаков нарушения антимонопольного законодательства.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Вифлеемскому Анатолию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