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02.11.2020, оставленным без изменения постановлением Шестнадцатого арбитражного апелляционного суда от 28.04.2021 и постановлением Арбитражного суда Северо-Кавказского округа от 29.07.2021, исковые требования удовлетворены. Учреждение обратилось в Верховный Суд Российской Федерации с кассационной жалобой, в которой просит указанные судебные акты отменить, считая их незаконными, необоснованными и принятыми с нарушением норм материального и процессуального права. Исходя из доводов жалобы и принятых по делу судебных актов оснований для удовлетворения жалобы не установлено. Оценив представленные в материалы дела доказательства, руководствуясь положениями Гражданского кодекса Российской Федерации, Федерального закона Российской Федерации от 05.04.2013 № 44-ФЗ «О контрактной системе в сфере закупок товаров, работ, услуг для обеспечения государственных и муниципальных нужд», принимая во внимание выводы судов по делу А63-21875/2018, суд первой инстанции удовлетворил исковые требования, установив, что являясь подрядчиком по заключенному с учреждением (заказчиком) государственному контракту, действуя добросовестно, истец выполнил работы, не оплаченные заказчиком, стоимость которых подтверждается выводами проведенной судебной экспертизы. При этом суд установил причинение подрядчику убытков в результате невозможности исполнить контракт по вине учреждения, несение расходов на 3 материалы, подтвержденное первичными документами, наличие причинно- следственной связи между расходами подрядчика на получение банковской гарантии, закупку материалов и действиями заказчика. Указанные выводы поддержали суды апелляционной и кассационной инстанций. Доводы жалобы были предметом исследования судов и получили исчерпывающую правовую оценку, сводятся к переоценке установленных судами фактических обстоятельств, что не входит в полномочия Верховного Суда Российской Федерации.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