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27.11.2020, оставленным без изменения постановлениями Семнадцатого арбитражного апелляционного суда от 11.02.2021 и Арбитражного суда Уральского округа от 15.06.2021,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плановой выездной проверки управлением выявлено нарушение обществом пункта 7 статьи 12 Федерального закона от 24.06.1998 № 89-ФЗ «Об отходах производства и потребления» (далее – Закон № 89-ФЗ), выразившееся в размещении (хранении) в пруду-накопителе малоопасного отхода (фильтрат полигонов захоронения твердых коммунальных отходов малоопасный (код по ФККО 7 39 101 1239 4), не внесенного в Государственный реестр объектов размещения отходов. Предписанием управления на общество возложена обязанность устранить выявленное нарушение. Не согласившись с ненормативным правовым актом управления,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Закона № 89-ФЗ, Федерального закона от 10.01.2002 № 7-ФЗ «Об охране окружающей среды»,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Порядком ведения государственного кадастра отходов, утвержденным приказом Министерства природных ресурсов от 30.09.2011 № 792, Федеральным классификационным каталогом отходов, утвержденным приказом Росприроднадзора от 22.05.2017 № 242, принимая во внимание обстоятельства, установленные по результатам рассмотрения дел Первомайским районным судом г. Ижевска № 7-160/2018, Арбитражным судом Удмуртской Республики №№ А71-21156/2017, А71-15486/2019, суды пришли к выводу об отсутствии совокупности оснований для признания оспариваемого ненормативного акта недействительным. Судебные инстанции исходили из доказанности отнесения пруда-накопителя, расположенного на полигоне общества, к объектам хранения отхода (фильтрата). При исследовании обстоятельств дела установлено, что фильтрат полигонов захоронения твердых коммунальных отходов малоопасный (код по ФККО 7 39 101 1239 4), относится к отходам, образующимся в процессе деятельности общества; способ обращения общества с фильтратом, образующимся при эксплуатации полигона, не позволяет отнести его к сточным 3 водам (отходы из пруда не изымались, пруд полностью заполнен); отход не внесен в Государственный реестр объектов размещения отходов. Доводы кассационной жалобы являлись предметом рассмотрения судов и получили надлежащую правовую оценку, направлены на переоценку установленных по делу обстоятельств,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«Чистый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