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кооператив 12.10.2021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22.06.2021, срок на обжалование которого истек 23.08.2021. Несвоевременную подачу жалобы заявитель обосновывает включением кооператива в реестр недобросовестных поставщиков, в связи с чем его деятельность была заблокирована.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3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Кооператив был извещен о судебном разбирательстве в суде первой инстанции, являлся инициатором апелляционного и кассационного обжалования, и его представитель участвовал при рассмотрении дела в судах трех инстанций. С полным текстом последнего обжалуемого судебного акта - постановления суда округа от 22.06.2021 кооператив мог ознакомиться 23.06.2021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Кооперативом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Кроме того, само по себе включение в реестр недобросовестных поставщиков не подавляет экономическую самостоятельность и инициативу хозяйствующего субъекта, не ограничивает чрезмерно его право на свободное использование своих способностей и имущества для предпринимательской и иной экономической деятельности, а также право частной собственности, не препятствует осуществлению обычной хозяйственной деятельности.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4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производственному кооперативу «Рид»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Москвы от 29.09.2020, постановление Девятого арбитражного апелляционного суда от 02.03.2021 и постановление Арбитражного суда Московского округа от 22.06.2021 по делу № А40-68131/2020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