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Межрайонной инспекции Федеральной налоговой службы № 17 по Челябинской области (далее – уполномоченный орган) обратилась в суд с заявлением о включении в реестр требований кредиторов должника (далее – реестр) задолженности в сумме 98 023 758 рублей 18 копеек. Определением Арбитражного суда Челябинской области от 19.01.2021, оставленным без изменениями постановлениями Восемнадцатого арбитражного апелляционного суда от 15.03.2021 и Арбитражного суда Уральского округа от 23.06.2021,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статьями 46, 47, 101, 101.2 Налогового кодекса Российской Федерации, пунктом 11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установив, что задолженность по обязательным платежам подтверждена документально и должником не погашена, а возможность принудительного взыскания данных обязательных платежей не утрачена, признали требования уполномоченного органа обоснованными и подлежащими включению в реестр.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общества с ограниченной ответственностью «ЭсБиЭй»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