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Тамбовской области от 16.06.2021, оставленным без изменения постановлением Девятнадцатого арбитражного апелляционного суда от 05.08.2021, настоящее дело передано в Тамбовский областной суд для направления его в суд по подсудности. 2 В кассационной жалобе, поступившей в Верховный Суд Российской Федерации, Никольских Н.П. просит отменить указанные судебные акты,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Принимая обжалуемые судебные акты, суды, руководствуясь положениями статьи 30.1 Кодекса Российской Федерации об административных правонарушениях, статей 27, 29, 207 Арбитражного процессуального кодекса Российской Федерации, учитывая разъяснения, данные в пункте 33 Постановления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правонарушениях», а также «Обзор судебной практики Верховного Суда Российской Федерации 1 (2014)», утвержденный Президиумом Верховного Суда Российской Федерации 24.12.2014, исходили из того, что дело об обжаловании указанного решения административного органа не подлежит рассмотрению в арбитражном суде. Сведений о том, что Никольских Н.П. обращался с аналогичными требованиями в суд общей юрисдикции, который отказался бы рассматривать указанный спор из-за отсутствия компетенции, не представлено, в связи с чем у Никольских Н.П. имеется возможность реализовать гарантированное статьей 46 Конституции Российской Федерации право на судебную защиту при рассмотрении настоящего дела в суде общей юрисдикции. Таким образом,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Доводы жалобы повторяют правовую позицию Никольских Н.П. в судах первой и апелляционной инстанций, выводы судов не опровергают, не свидетельствуют о существенных нарушениях судами норм материального права и (или) норм процессуального права, повлиявших на исход дела, и не 3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