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Тамбовской области от 16.06.2021, оставленным без изменения постановлением Девятнадцатого арбитражного апелляционного суда от 05.08.2021, настоящее дело передано в Тамбовский областной суд для направления его в суд по подсудности. 2 В кассационной жалобе, поступившей в Верховный Суд Российской Федерации, Никольских Н.П. просит отменить указанные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Принимая обжалуемые судебные акты, суды, руководствуясь положениями статьи 30.1 Кодекса Российской Федерации об административных правонарушениях, статей 27, 29, 207 Арбитражного процессуального кодекса Российской Федерации, учитывая разъяснения, данные в пункте 33 Постановления Пленума Верховного Суда Российской Федерации от 24.03.2005 № 5 «О некоторых вопросах, возникающих у судов при применении Кодекса Российской Федерации об административных правонарушениях», а также «Обзор судебной практики Верховного Суда Российской Федерации 1 (2014)», утвержденный Президиумом Верховного Суда Российской Федерации 24.12.2014, исходили из того, что дело об обжаловании указанного решения административного органа не подлежит рассмотрению в арбитражном суде. Сведений о том, что Никольских Н.П. обращался с аналогичными требованиями в суд общей юрисдикции, который отказался бы рассматривать указанный спор из-за отсутствия компетенции, не представлено, в связи с чем у Никольских Н.П. имеется возможность реализовать гарантированное статьей 46 Конституции Российской Федерации право на судебную защиту при рассмотрении настоящего дела в суде общей юрисдикции. Таким образом,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Доводы жалобы сводятся к несогласию с выводами судов первой и апелляционной инстанций, выводы судов не опровергают,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3 достаточным основанием для пересмотра обжалуемых судебных актов в кассационном порядке.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