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Судебную коллегию Верховного Суда Российской Федерации с кассационной жалобой на вышеуказанные судебные акты, одновременно заявив ходатайство о зачете государственной пошлины.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2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3 На основании изложенного, руководствуясь статьями 104, 184, 185, 291.3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Амурские геоинформационные технологии» о зачете государственной пошлины отказать. Кассационную жалобу на решение Арбитражного суда Амурской области от 10.02.2020, постановление Шестого арбитражного апелляционного суда от 27.04.2021 и постановление Арбитражного суда Дальневосточного округа от 17.08.2021 по делу № А04-5697/2020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