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10.02.2021, оставленным без изменения постановлением Двенадцатого арбитражного апелляционного суда от 29.03.2021 и постановлением Арбитражного суда Поволжского округа от 12.07.2021, заявленные требования удовлетворены. Административный орган обратился в Верховный Суд Российской Федерации с жалобой, в которой просит отменить принятые по делу судебные акты, считая их принятыми с нарушением норм материального и процессуального права. При изучении доводов жалобы и принятых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послужили выводы административного органа о том, что учреждением допущено нецелевое использование бюджетных средств, а именно: направление средств федерального бюджета в размере 2 348 360 рублей на оплату работ по перепланировке и изменению функционального назначения помещений (создание кафе и кухни) 1 этажа здания общежития (3, 4, 5 отряд, медсанчасть) учреждения за счет средств, выделенных на проведение капитального ремонта. Оценив представленные доказательства в совокупности и взаимной связи, руководствуясь положениями статей 1.6, 15.14, 24.1, 24.5, 26.1 КоАП, статей 38, 162, 306.4 Бюджетного кодекса Российской Федерации, статьи 1 Градостроительного Кодекса Российской Федерации, пунктами 1.2.14, 1.12.1, 1.13.2, 1.13.8, 1.14.1 Перечня работ по капитальному ремонту зданий и сооружений (приложение № 9) Инструкции по технической эксплуатации зданий и сооружений учреждений уголовно-исполнительной системы, утверждённой приказом Министерства юстиции РФ от 28.09.2001 № 276, принимая во внимание выводы судов по делу А12-3834/2020, установив факт капитального ремонта объекта, суды признали недоказанным факт нецелевого использования бюджетных средств, в связи с чем пришли к выводу об 3 отсутствии в действиях учреждения состава административного правонарушения, предусмотренного статьей 15.14 КоАП. При этом суды исходили из того, что выполненные работы не привели к изменению параметров объекта капитального строительства, его частей (высоты, количества этажей, площади, объема), надстройки и расширения объекта, увеличения площади застройки, изменения типовой группы (назначения) объекта в целом - общежития, не производилось. Доводы заявителя жалобы, по сути, сводятся к несогласию с выводами судов по другому делу, направлены на переоценку доказательств и фактических обстоятельств дела, что не отнесено к полномочиям Судебной коллегии Верховного Суда Российской Федерации. С учетом изложенного приведенные управлением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