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20.01.2021, оставленным без изменения постановлением Седьмого арбитражного апелляционного суда от 22.03.2021, оспариваемое постановление изменено в части назначения административного наказания, управлению определена мера ответственности в виде административного штрафа в размере 250 000 рублей. Постановлением Арбитражного суда Западно-Сибирского округа от 28.06.2021 названные судебные акты оставлены без изменения. Управление обратилось в Верховный Суд Российской Федерации с кассационной жалобой, в которой просит отменить принятые по делу судебные 2 акты, считая их незаконными и необоснованными, принятыми с нарушением норм материального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эксплуатации управлением объекта капитального строительства без разрешения на ввод такого объекта в эксплуатацию, в нарушение положений части 2 статьи 55.24 Градостроительного кодекса Российской Федерации. Частью 5 статьи 9.5 Кодекса Российской Федерации об административных правонарушениях предусмотрена административная ответственность за эксплуатацию объекта капитального строительства без разрешения на ввод его в эксплуатацию, за исключением случаев, если для осуществления строительства, реконструкции, капитального ремонта объектов капитального строительства не требуется выдача разрешения на строительство. Исследовав и оценив представленные в материалы дела доказательства в их совокупности и взаимосвязи, руководствуясь положениями статей 51, 55, 55.24 Градостроительного кодекса Российской Федерации, суды первой и апелляционной инстанций установили наличие в действиях управления состава административного правонарушения, предусмотренного частью 5 статьи 9.5 Кодекса Российской Федерации об административных правонарушениях, с чем согласился суд округа. Судами также установлено, что процедура и срок давности привлечения к административной ответственности соблюдены, обществу назначено наказание в минимальном размере, установленном санкцией части 5 статьи 9.5 Кодекса Российской Федерации об административных правонарушениях. При изложенных обстоятельствах суды пришли к выводу об отсутствии оснований для признания незаконным и отмены оспариваемого постановления административного органа. Доводы жалобы управления были предметом исследования судов и получили надлежащую правовую оценку. Несогласие заявителя с установленными судами фактическими обстоятельствами дела, с толкованием норм законодательства, подлежащих применению к рассматриваемым правоотношениям, в силу статьи 291.6 Арбитражного процессуального кодекса Российской Федерации 3 не свидетельствует о наличии оснований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