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города Москвы от 17.11.2020, постановление Девятого арбитражного апелляционного суда от 16.02.2021 и постановление Арбитражного суда Московского округа от 27.04.2021 по делу № А40-28312/2019 восстановить.Судья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