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09.03.2021 предприниматель привлечен к административной ответственности на основании части 2 статьи 14.16 и части 3 статьи 14.17 Кодекса Российской Федерации об административных правонарушениях, ему назначено наказание в виде штрафа в размере 250 000 рублей, изъятая алкогольная продукция направлена на уничтожение. 2 Не согласившись с решением суда первой инстанции, предприниматель обратился с апелляционной жалобой с пропуском установленного процессуального срока, заявив ходатайство о его восстановлении. Определением Первого арбитражного апелляционного суда от 22.04.2021 отказано в восстановлении срока на подачу апелляционной жалобы и на основании пункта 3 части 1 статьи 264 Арбитражного процессуального кодекса Российской Федерации жалоба возвращена заявителю. Постановлением Арбитражного суда Волго-Вятского округа от 10.06.2021 определение суда апелляционной инстанции оставлено без изменения. Предприниматель обратился в Верховный Суд Российской Федерации с кассационной жалобой, в которой просит постановление суда округа отменить, считая его незаконными и необоснованными.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 оснований для удовлетворения жалобы не установлено. Отказывая в восстановлении срока, суд апелляционной инстанции руководствовался положениями статей 115, 117, 206, 259, 264 Арбитражного процессуального кодекса Российской Федерации, и исходил из отсутствия правовых оснований для восстановления пропущенного процессуального срока 3 на подачу жалобы с учетом порядка и сроков на обжалование, установленных арбитражным процессуальным законодательством. Обстоятельств, свидетельствующих о наличии исключительных и непреодолимых препятствий для подачи апелляционной жалобы в установленный законом срок, суд не установил. Судебный акт был своевременно размещен в информационном ресурсе «Картотека арбитражных дел», представитель предпринимателя участвовал в судебном заседании суда первой инстанции, знал о принятом судебном акте, и располагал достаточным временем для подготовки и направления жалобы в установленный законом срок. Суд округа согласился с указанными выводами. Доводы заявителя жалобы сводятся к несогласию с выводами суда об отсутствии уважительных причин для восстановления срока на подачу апелляционной жалобы, и противоречат разъяснениям, изложенным в пункте 14 Постановления Пленума Высшего Арбитражного Суда Российской Федерации от 27.01.2003 № 2 «О некоторых вопросах, связанных с введением в действие Кодекса Российской Федерации об административных правонарушениях», а также в пунктах 12 и 15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в связи с чем не могут служить основанием для отмены обжалуемого судебного акта.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