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Белгородской области от 08.12.2020, оставленным без изменения постановлением Девятнадцатого арбитражного апелляционного суда от 10.03.2021, предприниматель привлечена к административной ответственности по части 3 статьи 14.17 Кодекса Российской Федерации об административных правонарушениях и ей назначено 2 наказание в виде штрафа в размере 250 000 рублей, изъятая продукция направлена на уничтожение. Постановлением Арбитражного суда Центрального округа от 28.06.2021 указанные судебные акты оставлены без изменения. Предприниматель в кассационной жалобе просит отменить принятые по делу судебные акты, считая их незаконными и необоснованными. При изучении доводов жалобы и состоявшихся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Частью 3 статьи 14.17 Кодекса Российской Федерации об административных правонарушениях установлена административная ответственность за производство или оборот этилового спирта, алкогольной и спиртосодержащей продукции без соответствующей лицензии. Оценив представленные доказательства, руководствуясь положениями Федерального закона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суды пришли к выводу о наличии в действиях предпринимателя состава административного правонарушения, ответственность за совершение которого предусмотрена частью 3 статьи 14.17 Кодекса Российской Федерации об административных правонарушениях, установив, что осуществляя в принадлежащем ей помещении оборот (хранение) алкогольной продукции в целях реализации в отсутствие лицензии, предприниматель сознавала противоправный характер своих действий, предвидела их последствия и сознательно их допускала либо относилась к ним безразлично. Признавая правильной произведенную административным органом квалификацию совершенного предпринимателем правонарушения, суды учли правовую позицию, изложенную в пункте 2 Обзора судебной практики «О 3 некоторых вопросах, возникающих при рассмотрении арбитражными судами дел об административных правонарушениях, предусмотренных главой 14 Кодекса Российской Федерации об административных правонарушениях», утвержденного Президиумом Верховного Суда Российской Федерации 06.12.2017. Процедура и срок давности привлечения к административной ответственности соблюдены. Оснований для применения статьи 2.9 Кодекса Российской Федерации об административных правонарушениях судами не установлено. Нарушений гарантированных Конституцией Российской Федерации и статьей 25.1 Кодекса Российской Федерации об административных правонарушениях прав, в том числе права на защиту, судами не установлено. Кодекс Российской Федерации об административных правонарушениях позволяет лицу, в отношении которого ведется производство по делу об административном правонарушении, прибегнуть к юридической помощи защитника, который согласно части 4 статьи 25.5 Кодекса Российской Федерации об административных правонарушениях может участвовать в таком производстве с момента возбуждения дела об административном правонарушении. В соответствии с пунктом 3 части 4 статьи 28.1 Кодекса Российской Федерации об административных правонарушениях дело об административном правонарушении считается возбужденным с момента составления протокола об административном правонарушении. С момента возбуждения дела об административном правонарушении предпринимателю разъяснено, что в соответствии со статьей 25.1 Кодекса Российской Федерации об административных правонарушениях она вправе знакомиться со всеми материалами дела об административном правонарушении, давать объяснения, представлять доказательства, заявлять ходатайства и отводы, пользоваться юридической помощью защитника, пользоваться иными процессуальными правами в соответствии с настоящим 4 Кодексом. Предприниматель имела возможность реализовать предоставленные ей процессуальные права без ограничений, однако правом на привлечение защитника не воспользовалась до суда апелляционной инстанции. Указанные выводы судов в жалобе не опровергнуты. При этом на административный орган не возложена обязанность обеспечивать лицо, привлекаемое к ответственности, защитником. Кроме того, доводов о том, что предприниматель заблуждалось относительно вмененного правонарушения, была лишена возможности обосновать свою позицию по делу и своевременно представить доказательства, в жалобе не приведено. Вопреки доводам жалобы, неосуществление предпринимателем торговой деятельности в магазине, где была обнаружена алкогольная продукция, само по себе не имеет правового значения, поскольку в рассматриваемом случае она несет ответственность за незаконное хранение алкогольной продукции, вне зависимости от факта реализации и ведения торговой деятельности в спорном магазине.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