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20.11.2020, оставленным без изменения постановлением Шестнадцатого арбитражного апелляционного суда от 15.02.2021 и постановлением Арбитражного суда Северо-Кавказского округа от 16.06.2021, в удовлетворении исковых требований отказано.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нарушения судами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2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иске, установив факт нарушения обществом условий контракта в части срока выполнения работ при отсутствии объективных препятствий для исполнения контракта, и признав правомерным односторонний отказ заказчика от исполнения контракта. Доводы кассационной жалобы, в том числе, относительно невозможности своевременного исполнения работ по вине заказчика, были предметом исследования судов и получили исчерпывающую правовую оценку, не согласиться с которой оснований не имеется. Иные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