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Владимирской области от 19.11.2020, оставленным без изменения постановлением Первого арбитражного апелляционного суда от 11.03.2021 и постановлением Арбитражного суда Волго-Вятского округа от 10.06.2021, в удовлетворении требований отказано. Общество обратилось в Верховный Суд Российской Федерации с кассационной жалобой на указанные судебные акты, в которой просит их отменить, ссылаясь на нарушение судами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оценив представленные в материалы дела доказательства и установив, что в результате взаимозависимости общества и его контрагента АО «ПО Муроммашзавод», согласованности их действии в проверяемом периоде создан формальный документооборот, позволивший обществу получить необоснованную налоговую выгоду путем применения налоговых вычетов по НДС по сделкам приобретения товаров от АО «ПО Муроммашзавод» при отсутствии реальных хозяйственных операций, руководствуясь положениями статей 23, 57, 75, 106, 105.1, 169, 171, 172, 252 Налогового кодекса, постановлением Пленума Высшего Арбитражного Суда 3 Российской Федерации от 12.10.2006 № 53 «Об оценке арбитражными судами обоснованности получения налогоплательщиком налоговой выгоды», суды первой и апелляционной инстанций пришли к выводу о правомерности решения инспекции, с чем согласился суд округа.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с учетом установленных обстоятельств, связанных с отсутствием реальных финансово-хозяйственных операций между обществом и указанным контрагентом. При этом суды установили создание формального документооборота, имитирующего поставку обществу спорной продукции в целях получения необоснованной налоговой выгоды. Выводы судов об отсутствии реальности спорных хозяйственных операций основаны на представленных в дело доказательствах, которые были оценены судами в их совокупности и взаимосвязи с учетом установленных фактических обстоятельств дела.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