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18.03.2021, оставленным без изменения постановлением Третьего арбитражного апелляционного суда от 14.05.2021, в удовлетворении заявленного требования отказано. 2 Постановлением Арбитражного суда Восточно-Сибирского округа от 19.07.2021 указанные судебные акты оставлены без изменения. Общество просит отменить обжалуемые судебные акты, считая их незаконными и необоснованными,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Изучив изложенные в кассационной жалобе доводы,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357, 358, 362 Налогового кодекса Российской Федерации, приказа Министерства промышленности и торговли Российской Федерации от 28.02.2014 № 316 «Об утверждении порядка расчета средней стоимости легковых автомобилей в целях главы 28 Налогового кодекса Российской Федерации» и формируемого им перечня легковых автомобилей на 2018 год, суды отказали в удовлетворении заявленного требования, установив, что повышающий коэффициент применен налоговым органом обоснованно, факт включения спорного транспортного средства в вышеуказанный перечень подтвержден с учетом представленных доказательств его характеристик и 3 сведений, подлежащих отражению в паспорте транспортного средства в рассматриваемый период. Приведенные в жалобе доводы, в том числе относительно отсутствия в паспорте транспортного средства информации об особой серии автомобиля, получили исчерпывающую правовую оценку в обжалуемых судебных актах, связаны с оценкой доказательств и установлением фактических обстоятельств по делу, что не относится к компетенции Судебной коллегии Верховного Суда Российской Федерации.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