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25.12.2020, оставленным без изменения постановлением Седьмого арбитражного 2 апелляционного суда от 09.03.2021, оспариваемое постановление изменено в части назначения административного наказания, обществу определена мера ответственности в виде административного штрафа в размере 66 124 888,23 рублей. Постановлением Арбитражного суда Западно-Сибирского округа от 18.06.2021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незаконной валютной операции с целью вывода денежных средств из Российской Федерации.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3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статьи 4.1.1 Кодекса Российской Федерации об административных правонарушениях не выявлено, назначенный штраф снижен судом. Изложенные в жалобах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обстоятельств, свидетельствующих о предоставлении обществом в банк документов, которые содержали недостоверную информацию об основаниях, цели и назначении перевода денежных средств. Оснований для иной оценки указанных обстоятельств, исходя из доводов жалобы,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