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01.10.2020, оставленным без изменения постановлением Девятого арбитражного апелляционного суда от 24.02.2021 и постановлением Арбитражного суда Московского округа от 28.06.2021,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дела и доводов кассационной жалобы не установлено. Как следует из судебных актов, требования концерна (заказчик) мотивированы просрочкой исполнения обязательств по гарантийному ремонту и предоставлению нового обеспечения по договору от 31.05.2016 № 301-11/04-312.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договора, руководствуясь статьями 309, 310, 329, 330, 476, 477 Гражданского кодекса Российской Федерации, исходя из того, что концерн начислил штраф от стоимости комплекса, а не от стоимости оборудования, в отношении которого нарушены гарантийные обязательства, как это предусмотрено договором, при этом стоимость оборудования в договоре не определена, что не позволяет рассчитать сумму штрафа, не установив оснований для начисления неустойки за нарушение срока предоставления обеспечения, суды первой и апелляционной инстанций отказали в удовлетворении исковых требований, с чем впоследствии согласился суд округа. Суд округа поддержал выводы судов первой и апелляционной инстанций. Доводы заявителя кассационной жалобы с учетом установленных фактических обстоятельств настоящего дела выводы судов не опровергают,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«Концерн «Созвездие»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