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06.10.2021 обратился в Верховный Суд Российской Федерации с жалобой на определение судьи Верховного Суда Российской Федерации от 23.09.2021 № 308-ЭС21-16238, решение Арбитражного суда Ставропольского края от 18.12.2020, постановление Шестнадцатого арбитражного апелляционного суда от 01.03.2021 и постановление Арбитражного суда Северо-Кавказского округа от 26.05.2021 по делу № А63-4733/2020,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Северо-Кавказской электронной таможни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"АЭРОБАЛЛ" (подробнее) Ответчики: СЕВЕРО-КАВКАЗСКАЯ ЭЛЕКТРОННАЯ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