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24.09.2020, оставленным без изменения постановлениями Двадцать первого арбитражного апелляционного суда от 30.03.2021 и Арбитражного суда Центрального округа от 18.06.2021, в удовлетворении исковых требований отказано. В кассационной жалобе, поданной в Верховный Суд Российской Федерации, ООО «Строительная компания «Дельта»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«Строительная компания «Дельта» (подрядчик) и АО «Центр судоремонта «Звездочка» (заказчик) заключен контракт на разработку рабочей документации и выполнение строительно-монтажных работ по устройству фундаментов, а также оборудованию и монтажу промпроводок, стоимость которого определена по итогам электронного аукциона и составила 30 591 150 рублей 64 копейки. По мнению подрядчика, при выполнении работ им была получена экономия в размере 7 736 667 рублей 95 копеек, однако заказчик, сославшись на то, что из-за уменьшения объема выполненных работ фактические расходы подрядчика оказались меньше тех, которые учитывались при заключении контракта, отказал в выплате указанных денежных средств, что послужило основанием для обращения ООО «Строительная компания «Дельта» в арбитражный суд. Оценив представленные в материалы дела доказательства, суды, руководствуясь положениями статей 307, 309, 310, 702, 708, 709, 710, 711, 720, 740, 746, 753, 763 Гражданского кодекса Российской Федерации, с учетом разъяснений, изложенных в пункте 24 Обзора судебной практики Верховного Суда Российской Федерации № 1 (2019), утвержденного Президиумом Верховного Суда Российской Федерации 24.04.2019, не усмотрели оснований для удовлетворения иска. Судебные инстанции исходили из отсутствия экономии у подрядчика, и отметили, что независимо от согласования сторонами цены договора подряда в качестве твердой, подрядчик имеет право на оплату лишь фактически выполненных работ. При исследовании обстоятельств дела установлено, что подрядчик выполнил работы по контракту в меньшем объеме и с использованием меньшего количества материалов. Доводы кассационной жалобы являлись предметом рассмотрения судов и получили надлежащую правовую оценку, не подтверждают существенных нарушений норм материального права и норм процессуального права, повлиявших на исход дела. Несогласие заявителя с выводами судов, иная оценка им фактических обстоятельств дела, не означают допущенной при рассмотрении дела судебной 3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«Строительная компания «Дельта»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